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</w:p>
    <w:tbl>
      <w:tblPr>
        <w:tblStyle w:val="2"/>
        <w:tblW w:w="93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10"/>
        <w:gridCol w:w="1227"/>
        <w:gridCol w:w="1786"/>
        <w:gridCol w:w="1023"/>
        <w:gridCol w:w="1309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2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广元市第一人民医院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医疗设备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核磁共振系统报废资产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资产原值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核磁共振系统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20101231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7,530,000.00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MAGNZTCM C！0.35T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含机柜、工作站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7,530,000.00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567" w:right="1800" w:bottom="56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879C0"/>
    <w:rsid w:val="7F2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2022-03-17T06:40:00Z</dcterms:created>
  <dc:creator>美若黎明</dc:creator>
  <cp:lastModifiedBy>美若黎明</cp:lastModifiedBy>
  <dcterms:modified xsi:type="dcterms:W3CDTF">2022-03-17T06:41:56Z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4E922AC7A544487FBADEF6A6216B87B4</vt:lpwstr>
  </property>
</Properties>
</file>